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9A" w:rsidRDefault="005E0E9A" w:rsidP="004805B0">
      <w:pPr>
        <w:shd w:val="clear" w:color="auto" w:fill="FFFFFF"/>
        <w:spacing w:line="274" w:lineRule="exact"/>
        <w:ind w:right="297"/>
        <w:rPr>
          <w:color w:val="000000"/>
          <w:sz w:val="24"/>
          <w:szCs w:val="24"/>
          <w:u w:val="single"/>
        </w:rPr>
      </w:pPr>
      <w:bookmarkStart w:id="0" w:name="_GoBack"/>
      <w:bookmarkEnd w:id="0"/>
    </w:p>
    <w:p w:rsidR="004805B0" w:rsidRDefault="004805B0" w:rsidP="000B42FD">
      <w:pPr>
        <w:shd w:val="clear" w:color="auto" w:fill="FFFFFF"/>
        <w:spacing w:line="274" w:lineRule="exact"/>
        <w:ind w:left="1205" w:right="297" w:firstLine="213"/>
        <w:jc w:val="center"/>
        <w:rPr>
          <w:b/>
          <w:color w:val="000000"/>
          <w:sz w:val="24"/>
          <w:szCs w:val="24"/>
          <w:u w:val="single"/>
        </w:rPr>
      </w:pPr>
    </w:p>
    <w:p w:rsidR="000B42FD" w:rsidRPr="000B42FD" w:rsidRDefault="00344AB4" w:rsidP="000B42FD">
      <w:pPr>
        <w:shd w:val="clear" w:color="auto" w:fill="FFFFFF"/>
        <w:spacing w:line="274" w:lineRule="exact"/>
        <w:ind w:left="1205" w:right="297" w:firstLine="213"/>
        <w:jc w:val="center"/>
        <w:rPr>
          <w:color w:val="000000"/>
          <w:sz w:val="24"/>
          <w:szCs w:val="24"/>
          <w:u w:val="single"/>
        </w:rPr>
      </w:pPr>
      <w:r w:rsidRPr="00454DAD">
        <w:rPr>
          <w:b/>
          <w:color w:val="000000"/>
          <w:sz w:val="24"/>
          <w:szCs w:val="24"/>
          <w:u w:val="single"/>
        </w:rPr>
        <w:t xml:space="preserve">Information </w:t>
      </w:r>
      <w:r w:rsidR="00053835" w:rsidRPr="00454DAD">
        <w:rPr>
          <w:b/>
          <w:color w:val="000000"/>
          <w:sz w:val="24"/>
          <w:szCs w:val="24"/>
          <w:u w:val="single"/>
        </w:rPr>
        <w:t>nach Artikel 13</w:t>
      </w:r>
      <w:r w:rsidR="009F3A03" w:rsidRPr="00454DAD">
        <w:rPr>
          <w:b/>
          <w:color w:val="000000"/>
          <w:sz w:val="24"/>
          <w:szCs w:val="24"/>
          <w:u w:val="single"/>
        </w:rPr>
        <w:t xml:space="preserve"> </w:t>
      </w:r>
      <w:r w:rsidR="00053835" w:rsidRPr="00454DAD">
        <w:rPr>
          <w:b/>
          <w:color w:val="000000"/>
          <w:sz w:val="24"/>
          <w:szCs w:val="24"/>
          <w:u w:val="single"/>
        </w:rPr>
        <w:t>Datenschutz-Grundverordnung (DSGVO</w:t>
      </w:r>
      <w:r w:rsidR="00053835" w:rsidRPr="000B42FD">
        <w:rPr>
          <w:color w:val="000000"/>
          <w:sz w:val="24"/>
          <w:szCs w:val="24"/>
          <w:u w:val="single"/>
        </w:rPr>
        <w:t>)</w:t>
      </w:r>
    </w:p>
    <w:p w:rsidR="00F85DB3" w:rsidRDefault="009F3A03" w:rsidP="000B42FD">
      <w:pPr>
        <w:shd w:val="clear" w:color="auto" w:fill="FFFFFF"/>
        <w:spacing w:line="274" w:lineRule="exact"/>
        <w:ind w:left="1205" w:right="297" w:firstLine="213"/>
        <w:jc w:val="center"/>
        <w:rPr>
          <w:color w:val="000000"/>
          <w:spacing w:val="-1"/>
          <w:sz w:val="24"/>
          <w:szCs w:val="24"/>
        </w:rPr>
      </w:pPr>
      <w:r>
        <w:rPr>
          <w:color w:val="000000"/>
          <w:spacing w:val="-1"/>
          <w:sz w:val="24"/>
          <w:szCs w:val="24"/>
        </w:rPr>
        <w:t>(</w:t>
      </w:r>
      <w:r w:rsidR="00053835">
        <w:rPr>
          <w:color w:val="000000"/>
          <w:spacing w:val="-1"/>
          <w:sz w:val="24"/>
          <w:szCs w:val="24"/>
        </w:rPr>
        <w:t>Erhebung personenbezogener Daten bei der betroffenen Person</w:t>
      </w:r>
      <w:r>
        <w:rPr>
          <w:color w:val="000000"/>
          <w:spacing w:val="-1"/>
          <w:sz w:val="24"/>
          <w:szCs w:val="24"/>
        </w:rPr>
        <w:t>)</w:t>
      </w:r>
    </w:p>
    <w:p w:rsidR="00F85DB3" w:rsidRDefault="00F85DB3" w:rsidP="000B42FD">
      <w:pPr>
        <w:spacing w:after="379" w:line="1" w:lineRule="exact"/>
        <w:jc w:val="center"/>
        <w:rPr>
          <w:sz w:val="2"/>
          <w:szCs w:val="2"/>
        </w:rPr>
      </w:pPr>
    </w:p>
    <w:tbl>
      <w:tblPr>
        <w:tblW w:w="9772" w:type="dxa"/>
        <w:tblInd w:w="40" w:type="dxa"/>
        <w:tblLayout w:type="fixed"/>
        <w:tblCellMar>
          <w:left w:w="40" w:type="dxa"/>
          <w:right w:w="40" w:type="dxa"/>
        </w:tblCellMar>
        <w:tblLook w:val="0000" w:firstRow="0" w:lastRow="0" w:firstColumn="0" w:lastColumn="0" w:noHBand="0" w:noVBand="0"/>
      </w:tblPr>
      <w:tblGrid>
        <w:gridCol w:w="3805"/>
        <w:gridCol w:w="5967"/>
      </w:tblGrid>
      <w:tr w:rsidR="00A16975" w:rsidTr="00D96125">
        <w:trPr>
          <w:trHeight w:hRule="exact" w:val="566"/>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A16975" w:rsidRPr="00A16975" w:rsidRDefault="000F4CBE">
            <w:pPr>
              <w:shd w:val="clear" w:color="auto" w:fill="FFFFFF"/>
              <w:rPr>
                <w:b/>
                <w:bCs/>
                <w:color w:val="000000"/>
              </w:rPr>
            </w:pPr>
            <w:r>
              <w:rPr>
                <w:b/>
                <w:bCs/>
                <w:color w:val="000000"/>
              </w:rPr>
              <w:t xml:space="preserve">1. </w:t>
            </w:r>
            <w:r w:rsidR="00A16975" w:rsidRPr="00A16975">
              <w:rPr>
                <w:b/>
                <w:bCs/>
                <w:color w:val="000000"/>
              </w:rPr>
              <w:t>Bezeichnung der Datenverarbeitung</w:t>
            </w:r>
          </w:p>
          <w:p w:rsidR="00A16975" w:rsidRPr="00A16975" w:rsidRDefault="00A16975" w:rsidP="00C930C5">
            <w:pPr>
              <w:shd w:val="clear" w:color="auto" w:fill="FFFFFF"/>
              <w:rPr>
                <w:bCs/>
                <w:color w:val="000000"/>
                <w:sz w:val="16"/>
                <w:szCs w:val="16"/>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A16975" w:rsidRDefault="00FC4BF2" w:rsidP="00145739">
            <w:pPr>
              <w:shd w:val="clear" w:color="auto" w:fill="FFFFFF"/>
            </w:pPr>
            <w:r>
              <w:t>Leistungen nach dem Unterhaltsvorschussgesetz</w:t>
            </w:r>
            <w:r w:rsidR="00642301">
              <w:t>,</w:t>
            </w:r>
          </w:p>
          <w:p w:rsidR="00FC4BF2" w:rsidRPr="00FC4BF2" w:rsidRDefault="00FC4BF2" w:rsidP="00145739">
            <w:pPr>
              <w:shd w:val="clear" w:color="auto" w:fill="FFFFFF"/>
            </w:pPr>
            <w:r>
              <w:t>Heranziehung des unterhaltspflichtigen Elternteils</w:t>
            </w:r>
          </w:p>
        </w:tc>
      </w:tr>
      <w:tr w:rsidR="00454DAD" w:rsidTr="00D96125">
        <w:trPr>
          <w:trHeight w:hRule="exact" w:val="701"/>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900A22" w:rsidRDefault="00900A22" w:rsidP="00454DAD">
            <w:pPr>
              <w:shd w:val="clear" w:color="auto" w:fill="FFFFFF"/>
              <w:jc w:val="center"/>
              <w:rPr>
                <w:b/>
                <w:bCs/>
                <w:i/>
                <w:color w:val="000000"/>
                <w:u w:val="single"/>
              </w:rPr>
            </w:pPr>
          </w:p>
          <w:p w:rsidR="00454DAD" w:rsidRPr="00454DAD" w:rsidRDefault="00454DAD" w:rsidP="00454DAD">
            <w:pPr>
              <w:shd w:val="clear" w:color="auto" w:fill="FFFFFF"/>
              <w:jc w:val="center"/>
              <w:rPr>
                <w:b/>
                <w:bCs/>
                <w:i/>
                <w:color w:val="000000"/>
                <w:u w:val="single"/>
              </w:rPr>
            </w:pPr>
            <w:r w:rsidRPr="00454DAD">
              <w:rPr>
                <w:b/>
                <w:bCs/>
                <w:i/>
                <w:color w:val="000000"/>
                <w:u w:val="single"/>
              </w:rPr>
              <w:t>Art. 13 Abs. 1 DSGVO:</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454DAD" w:rsidRDefault="00454DAD">
            <w:pPr>
              <w:shd w:val="clear" w:color="auto" w:fill="FFFFFF"/>
            </w:pPr>
          </w:p>
        </w:tc>
      </w:tr>
      <w:tr w:rsidR="00F85DB3" w:rsidTr="00D96125">
        <w:trPr>
          <w:trHeight w:hRule="exact" w:val="1418"/>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F85DB3" w:rsidRPr="00736C2A" w:rsidRDefault="000F4CBE">
            <w:pPr>
              <w:shd w:val="clear" w:color="auto" w:fill="FFFFFF"/>
            </w:pPr>
            <w:r>
              <w:rPr>
                <w:b/>
                <w:bCs/>
                <w:color w:val="000000"/>
              </w:rPr>
              <w:t xml:space="preserve">2. </w:t>
            </w:r>
            <w:r w:rsidR="00053835" w:rsidRPr="00736C2A">
              <w:rPr>
                <w:b/>
                <w:bCs/>
                <w:color w:val="000000"/>
              </w:rPr>
              <w:t>Verantwortlich</w:t>
            </w:r>
          </w:p>
          <w:p w:rsidR="00F85DB3" w:rsidRDefault="00F85DB3" w:rsidP="006D61D7">
            <w:pPr>
              <w:shd w:val="clear" w:color="auto" w:fill="FFFFFF"/>
              <w:spacing w:line="182" w:lineRule="exact"/>
              <w:ind w:right="288"/>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4901C7" w:rsidRDefault="00AB11A2">
            <w:pPr>
              <w:shd w:val="clear" w:color="auto" w:fill="FFFFFF"/>
            </w:pPr>
            <w:r>
              <w:t>Die</w:t>
            </w:r>
            <w:r w:rsidR="004901C7">
              <w:t xml:space="preserve"> Bürgermeister</w:t>
            </w:r>
            <w:r>
              <w:t>in</w:t>
            </w:r>
            <w:r w:rsidR="004901C7">
              <w:t xml:space="preserve"> der Stadt Mettmann, </w:t>
            </w:r>
            <w:r>
              <w:t>Frau Sandra Pietschmann</w:t>
            </w:r>
            <w:r w:rsidR="004901C7">
              <w:t xml:space="preserve">, </w:t>
            </w:r>
            <w:proofErr w:type="spellStart"/>
            <w:r w:rsidR="004901C7">
              <w:t>Neanderstraße</w:t>
            </w:r>
            <w:proofErr w:type="spellEnd"/>
            <w:r w:rsidR="004901C7">
              <w:t xml:space="preserve"> 85 in 40822 Mettmann</w:t>
            </w:r>
            <w:r w:rsidR="00475EA6">
              <w:t>.</w:t>
            </w:r>
          </w:p>
          <w:p w:rsidR="00DE0492" w:rsidRDefault="00DE0492" w:rsidP="00475EA6">
            <w:pPr>
              <w:shd w:val="clear" w:color="auto" w:fill="FFFFFF"/>
              <w:rPr>
                <w:sz w:val="16"/>
                <w:szCs w:val="16"/>
              </w:rPr>
            </w:pPr>
          </w:p>
          <w:p w:rsidR="00AB11A2" w:rsidRDefault="00AB11A2">
            <w:pPr>
              <w:shd w:val="clear" w:color="auto" w:fill="FFFFFF"/>
            </w:pPr>
            <w:r>
              <w:t>Leiter Jugendamt</w:t>
            </w:r>
          </w:p>
          <w:p w:rsidR="00AB11A2" w:rsidRDefault="00A61D28">
            <w:pPr>
              <w:shd w:val="clear" w:color="auto" w:fill="FFFFFF"/>
            </w:pPr>
            <w:r w:rsidRPr="00EC1BF4">
              <w:t xml:space="preserve">Stephan </w:t>
            </w:r>
            <w:r w:rsidR="00AB11A2">
              <w:t xml:space="preserve">Paas, </w:t>
            </w:r>
            <w:r w:rsidR="00EC1BF4" w:rsidRPr="00EC1BF4">
              <w:t xml:space="preserve">Tel.: </w:t>
            </w:r>
            <w:r w:rsidRPr="00EC1BF4">
              <w:t xml:space="preserve">02104/980-420   </w:t>
            </w:r>
          </w:p>
          <w:p w:rsidR="00317EFB" w:rsidRPr="00EC1BF4" w:rsidRDefault="00EC1BF4">
            <w:pPr>
              <w:shd w:val="clear" w:color="auto" w:fill="FFFFFF"/>
            </w:pPr>
            <w:r w:rsidRPr="00EC1BF4">
              <w:t xml:space="preserve">Email: </w:t>
            </w:r>
            <w:r w:rsidR="00A61D28" w:rsidRPr="00EC1BF4">
              <w:t>stephan.</w:t>
            </w:r>
            <w:r w:rsidR="00AB11A2">
              <w:t>paas@</w:t>
            </w:r>
            <w:r w:rsidR="00A61D28" w:rsidRPr="00EC1BF4">
              <w:t>mettmann.de</w:t>
            </w:r>
          </w:p>
          <w:p w:rsidR="00344AB4" w:rsidRDefault="00344AB4">
            <w:pPr>
              <w:shd w:val="clear" w:color="auto" w:fill="FFFFFF"/>
            </w:pPr>
          </w:p>
        </w:tc>
      </w:tr>
      <w:tr w:rsidR="00F85DB3" w:rsidTr="00D96125">
        <w:trPr>
          <w:trHeight w:hRule="exact" w:val="562"/>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F85DB3" w:rsidRPr="00736C2A" w:rsidRDefault="000F4CBE">
            <w:pPr>
              <w:shd w:val="clear" w:color="auto" w:fill="FFFFFF"/>
            </w:pPr>
            <w:r>
              <w:rPr>
                <w:b/>
                <w:bCs/>
                <w:color w:val="000000"/>
              </w:rPr>
              <w:t xml:space="preserve">3. </w:t>
            </w:r>
            <w:r w:rsidR="005A6A5C">
              <w:rPr>
                <w:b/>
                <w:bCs/>
                <w:color w:val="000000"/>
              </w:rPr>
              <w:t xml:space="preserve">Ggf. </w:t>
            </w:r>
            <w:r w:rsidR="00053835" w:rsidRPr="00736C2A">
              <w:rPr>
                <w:b/>
                <w:bCs/>
                <w:color w:val="000000"/>
              </w:rPr>
              <w:t>Vertre</w:t>
            </w:r>
            <w:r w:rsidR="00386D30">
              <w:rPr>
                <w:b/>
                <w:bCs/>
                <w:color w:val="000000"/>
              </w:rPr>
              <w:t>tung</w:t>
            </w:r>
          </w:p>
          <w:p w:rsidR="00F85DB3" w:rsidRDefault="00F85DB3" w:rsidP="00D668A6">
            <w:pPr>
              <w:shd w:val="clear" w:color="auto" w:fill="FFFFFF"/>
              <w:spacing w:line="182" w:lineRule="exact"/>
              <w:ind w:right="288"/>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344AB4" w:rsidRDefault="00344AB4" w:rsidP="00C87955">
            <w:pPr>
              <w:shd w:val="clear" w:color="auto" w:fill="FFFFFF"/>
            </w:pPr>
            <w:r>
              <w:t>Tel</w:t>
            </w:r>
            <w:r w:rsidR="00C87955">
              <w:t xml:space="preserve">.:               </w:t>
            </w:r>
            <w:r w:rsidR="00D668A6">
              <w:t xml:space="preserve">     </w:t>
            </w:r>
            <w:r w:rsidR="00C87955">
              <w:t>Email:</w:t>
            </w:r>
          </w:p>
        </w:tc>
      </w:tr>
      <w:tr w:rsidR="00F85DB3" w:rsidRPr="00475EA6" w:rsidTr="00D96125">
        <w:trPr>
          <w:trHeight w:hRule="exact" w:val="565"/>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6D61D7" w:rsidRDefault="000F4CBE">
            <w:pPr>
              <w:shd w:val="clear" w:color="auto" w:fill="FFFFFF"/>
              <w:rPr>
                <w:b/>
                <w:bCs/>
                <w:color w:val="000000"/>
              </w:rPr>
            </w:pPr>
            <w:r>
              <w:rPr>
                <w:b/>
                <w:bCs/>
                <w:color w:val="000000"/>
              </w:rPr>
              <w:t xml:space="preserve">4. </w:t>
            </w:r>
            <w:r w:rsidR="006D61D7">
              <w:rPr>
                <w:b/>
                <w:bCs/>
                <w:color w:val="000000"/>
              </w:rPr>
              <w:t xml:space="preserve">Datenschutzbeauftragter </w:t>
            </w:r>
          </w:p>
          <w:p w:rsidR="00F85DB3" w:rsidRPr="006D61D7" w:rsidRDefault="00F85DB3" w:rsidP="00475EA6">
            <w:pPr>
              <w:shd w:val="clear" w:color="auto" w:fill="FFFFFF"/>
              <w:rPr>
                <w:i/>
                <w:sz w:val="16"/>
                <w:szCs w:val="16"/>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475EA6" w:rsidRDefault="00344AB4" w:rsidP="00D668A6">
            <w:pPr>
              <w:shd w:val="clear" w:color="auto" w:fill="FFFFFF"/>
            </w:pPr>
            <w:r>
              <w:t xml:space="preserve">Behördlicher Datenschutzbeauftragter </w:t>
            </w:r>
            <w:r w:rsidR="00475EA6">
              <w:t>der Kreisstadt Mettmann</w:t>
            </w:r>
          </w:p>
          <w:p w:rsidR="00C87955" w:rsidRPr="005E0E9A" w:rsidRDefault="00C87955" w:rsidP="00D668A6">
            <w:pPr>
              <w:shd w:val="clear" w:color="auto" w:fill="FFFFFF"/>
            </w:pPr>
            <w:r w:rsidRPr="005E0E9A">
              <w:t>Tel.</w:t>
            </w:r>
            <w:r w:rsidR="002F54CD" w:rsidRPr="005E0E9A">
              <w:t>:</w:t>
            </w:r>
            <w:r w:rsidR="00D668A6" w:rsidRPr="005E0E9A">
              <w:t xml:space="preserve"> </w:t>
            </w:r>
            <w:r w:rsidR="00475EA6" w:rsidRPr="005E0E9A">
              <w:t>02104/980-144</w:t>
            </w:r>
            <w:r w:rsidRPr="005E0E9A">
              <w:t xml:space="preserve">  </w:t>
            </w:r>
            <w:r w:rsidR="00D668A6" w:rsidRPr="005E0E9A">
              <w:t xml:space="preserve">    </w:t>
            </w:r>
            <w:r w:rsidRPr="005E0E9A">
              <w:t xml:space="preserve">Email: </w:t>
            </w:r>
            <w:hyperlink r:id="rId7" w:history="1">
              <w:r w:rsidR="00475EA6" w:rsidRPr="005E0E9A">
                <w:rPr>
                  <w:rStyle w:val="Hyperlink"/>
                </w:rPr>
                <w:t>datenschutz@mettmann.de</w:t>
              </w:r>
            </w:hyperlink>
          </w:p>
          <w:p w:rsidR="00D668A6" w:rsidRPr="005E0E9A" w:rsidRDefault="00D668A6" w:rsidP="00D668A6">
            <w:pPr>
              <w:shd w:val="clear" w:color="auto" w:fill="FFFFFF"/>
            </w:pPr>
          </w:p>
        </w:tc>
      </w:tr>
      <w:tr w:rsidR="00F85DB3" w:rsidTr="00D96125">
        <w:trPr>
          <w:trHeight w:hRule="exact" w:val="1854"/>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F85DB3" w:rsidRPr="00736C2A" w:rsidRDefault="000F4CBE">
            <w:pPr>
              <w:shd w:val="clear" w:color="auto" w:fill="FFFFFF"/>
            </w:pPr>
            <w:r>
              <w:rPr>
                <w:b/>
                <w:bCs/>
                <w:color w:val="000000"/>
                <w:spacing w:val="-2"/>
              </w:rPr>
              <w:t xml:space="preserve">5. </w:t>
            </w:r>
            <w:r w:rsidR="00053835" w:rsidRPr="00736C2A">
              <w:rPr>
                <w:b/>
                <w:bCs/>
                <w:color w:val="000000"/>
                <w:spacing w:val="-2"/>
              </w:rPr>
              <w:t>Zweck/e der Datenverarbeitung</w:t>
            </w:r>
          </w:p>
          <w:p w:rsidR="00F85DB3" w:rsidRDefault="00F85DB3" w:rsidP="00736C2A">
            <w:pPr>
              <w:shd w:val="clear" w:color="auto" w:fill="FFFFFF"/>
              <w:spacing w:line="182" w:lineRule="exact"/>
              <w:ind w:right="120"/>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2E63EA" w:rsidRDefault="00AB11A2" w:rsidP="00A61D28">
            <w:pPr>
              <w:shd w:val="clear" w:color="auto" w:fill="FFFFFF"/>
            </w:pPr>
            <w:r>
              <w:t>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verarbeitet, und ggf. zu Prüfzwecken durch den Bundesrechnungshof bzw. die Landesrechnungshöfe.</w:t>
            </w:r>
          </w:p>
        </w:tc>
      </w:tr>
      <w:tr w:rsidR="009F3A03" w:rsidTr="00AB11A2">
        <w:trPr>
          <w:trHeight w:hRule="exact" w:val="839"/>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A16975" w:rsidRPr="00736C2A" w:rsidRDefault="000F4CBE" w:rsidP="00A16975">
            <w:pPr>
              <w:shd w:val="clear" w:color="auto" w:fill="FFFFFF"/>
            </w:pPr>
            <w:r>
              <w:rPr>
                <w:b/>
                <w:bCs/>
                <w:color w:val="000000"/>
                <w:spacing w:val="-2"/>
              </w:rPr>
              <w:t xml:space="preserve">6. </w:t>
            </w:r>
            <w:r w:rsidR="00A16975" w:rsidRPr="00736C2A">
              <w:rPr>
                <w:b/>
                <w:bCs/>
                <w:color w:val="000000"/>
                <w:spacing w:val="-2"/>
              </w:rPr>
              <w:t>Rechtsgrundlage</w:t>
            </w:r>
          </w:p>
          <w:p w:rsidR="002E63EA" w:rsidRPr="00736C2A" w:rsidRDefault="002E63EA" w:rsidP="008F5523">
            <w:pPr>
              <w:shd w:val="clear" w:color="auto" w:fill="FFFFFF"/>
              <w:rPr>
                <w:b/>
                <w:bCs/>
                <w:color w:val="000000"/>
                <w:spacing w:val="-2"/>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F568F2" w:rsidRPr="00F568F2" w:rsidRDefault="00F568F2" w:rsidP="00F568F2">
            <w:pPr>
              <w:pStyle w:val="Default"/>
              <w:rPr>
                <w:color w:val="auto"/>
                <w:sz w:val="20"/>
                <w:szCs w:val="20"/>
              </w:rPr>
            </w:pPr>
            <w:r w:rsidRPr="00F568F2">
              <w:rPr>
                <w:sz w:val="20"/>
                <w:szCs w:val="20"/>
              </w:rPr>
              <w:t xml:space="preserve">Art. 6 Abs. 1 </w:t>
            </w:r>
            <w:proofErr w:type="spellStart"/>
            <w:r w:rsidRPr="00F568F2">
              <w:rPr>
                <w:sz w:val="20"/>
                <w:szCs w:val="20"/>
              </w:rPr>
              <w:t>lit</w:t>
            </w:r>
            <w:proofErr w:type="spellEnd"/>
            <w:r w:rsidRPr="00F568F2">
              <w:rPr>
                <w:sz w:val="20"/>
                <w:szCs w:val="20"/>
              </w:rPr>
              <w:t xml:space="preserve">. c), Abs. 3 DSGVO </w:t>
            </w:r>
            <w:proofErr w:type="spellStart"/>
            <w:r w:rsidRPr="00F568F2">
              <w:rPr>
                <w:sz w:val="20"/>
                <w:szCs w:val="20"/>
              </w:rPr>
              <w:t>i.V.m</w:t>
            </w:r>
            <w:proofErr w:type="spellEnd"/>
            <w:r w:rsidRPr="00F568F2">
              <w:rPr>
                <w:sz w:val="20"/>
                <w:szCs w:val="20"/>
              </w:rPr>
              <w:t>. §§ 68 Nr. 14, 60 Abs. 1 S. 1, 2 Erstes Buch Sozialgesetzbuch, 67a ff. Zehntes Buch Sozialgesetzbuch, §§ 1, 6 UVG</w:t>
            </w:r>
            <w:r w:rsidRPr="00F568F2">
              <w:rPr>
                <w:color w:val="auto"/>
                <w:sz w:val="20"/>
                <w:szCs w:val="20"/>
              </w:rPr>
              <w:t xml:space="preserve">. </w:t>
            </w:r>
          </w:p>
          <w:p w:rsidR="002E63EA" w:rsidRPr="00A61D28" w:rsidRDefault="002E63EA" w:rsidP="002E63EA">
            <w:pPr>
              <w:shd w:val="clear" w:color="auto" w:fill="FFFFFF"/>
              <w:rPr>
                <w:iCs/>
              </w:rPr>
            </w:pPr>
          </w:p>
        </w:tc>
      </w:tr>
      <w:tr w:rsidR="00F85DB3" w:rsidRPr="00F568F2" w:rsidTr="00D96125">
        <w:trPr>
          <w:trHeight w:hRule="exact" w:val="4684"/>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A16975" w:rsidRPr="006630B3" w:rsidRDefault="000F4CBE" w:rsidP="006630B3">
            <w:pPr>
              <w:shd w:val="clear" w:color="auto" w:fill="FFFFFF"/>
              <w:rPr>
                <w:b/>
                <w:bCs/>
                <w:color w:val="000000"/>
              </w:rPr>
            </w:pPr>
            <w:r>
              <w:rPr>
                <w:b/>
                <w:bCs/>
                <w:color w:val="000000"/>
              </w:rPr>
              <w:t xml:space="preserve">7. </w:t>
            </w:r>
            <w:r w:rsidR="00A16975" w:rsidRPr="006630B3">
              <w:rPr>
                <w:b/>
                <w:bCs/>
                <w:color w:val="000000"/>
              </w:rPr>
              <w:t xml:space="preserve">Ggf. Empfänger / Kategorien von </w:t>
            </w:r>
            <w:r w:rsidR="00A16975" w:rsidRPr="00736C2A">
              <w:rPr>
                <w:b/>
                <w:bCs/>
                <w:color w:val="000000"/>
              </w:rPr>
              <w:t>Empfängern der Daten</w:t>
            </w:r>
          </w:p>
          <w:p w:rsidR="00F85DB3" w:rsidRDefault="00F85DB3" w:rsidP="006630B3">
            <w:pPr>
              <w:shd w:val="clear" w:color="auto" w:fill="FFFFFF"/>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F568F2" w:rsidRPr="00EC1BF4" w:rsidRDefault="00F568F2" w:rsidP="00F568F2">
            <w:pPr>
              <w:pStyle w:val="Default"/>
              <w:rPr>
                <w:color w:val="auto"/>
                <w:sz w:val="20"/>
                <w:szCs w:val="20"/>
              </w:rPr>
            </w:pPr>
            <w:r w:rsidRPr="00EC1BF4">
              <w:rPr>
                <w:color w:val="auto"/>
                <w:sz w:val="20"/>
                <w:szCs w:val="20"/>
              </w:rPr>
              <w:t>Andere Sozialleistungsträger (z. Bsp. DRV, Krankenversicherung, Jobcenter, Bundesagentur für Arbeit), Finanzämter, Gerichte, andere Dritte wie z. B. kommunale Ämter, Bundesministerium für Familie, Senioren, Frauen und Jugend, 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w:t>
            </w:r>
            <w:proofErr w:type="spellStart"/>
            <w:r w:rsidRPr="00EC1BF4">
              <w:rPr>
                <w:color w:val="auto"/>
                <w:sz w:val="20"/>
                <w:szCs w:val="20"/>
              </w:rPr>
              <w:t>DIJuF</w:t>
            </w:r>
            <w:proofErr w:type="spellEnd"/>
            <w:r w:rsidRPr="00EC1BF4">
              <w:rPr>
                <w:color w:val="auto"/>
                <w:sz w:val="20"/>
                <w:szCs w:val="20"/>
              </w:rPr>
              <w:t>),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F568F2" w:rsidRPr="00F568F2" w:rsidRDefault="00F568F2" w:rsidP="00F568F2">
            <w:pPr>
              <w:shd w:val="clear" w:color="auto" w:fill="FFFFFF"/>
            </w:pPr>
          </w:p>
        </w:tc>
      </w:tr>
      <w:tr w:rsidR="00F85DB3" w:rsidRPr="00F568F2" w:rsidTr="00D96125">
        <w:trPr>
          <w:trHeight w:hRule="exact" w:val="4311"/>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4805B0" w:rsidRDefault="000F4CBE" w:rsidP="0036339F">
            <w:pPr>
              <w:shd w:val="clear" w:color="auto" w:fill="FFFFFF"/>
              <w:rPr>
                <w:b/>
                <w:bCs/>
                <w:color w:val="000000"/>
              </w:rPr>
            </w:pPr>
            <w:r>
              <w:rPr>
                <w:b/>
                <w:bCs/>
                <w:color w:val="000000"/>
              </w:rPr>
              <w:lastRenderedPageBreak/>
              <w:t xml:space="preserve">8. </w:t>
            </w:r>
            <w:r w:rsidR="00555901">
              <w:rPr>
                <w:b/>
                <w:bCs/>
                <w:color w:val="000000"/>
              </w:rPr>
              <w:t>Datenerhebung bei anderen Stellen</w:t>
            </w:r>
          </w:p>
          <w:p w:rsidR="004805B0" w:rsidRDefault="004805B0" w:rsidP="0036339F">
            <w:pPr>
              <w:shd w:val="clear" w:color="auto" w:fill="FFFFFF"/>
              <w:rPr>
                <w:b/>
                <w:bCs/>
                <w:color w:val="000000"/>
              </w:rPr>
            </w:pPr>
          </w:p>
          <w:p w:rsidR="004805B0" w:rsidRPr="005A6A5C" w:rsidRDefault="004805B0" w:rsidP="003C6F19">
            <w:pPr>
              <w:shd w:val="clear" w:color="auto" w:fill="FFFFFF"/>
              <w:rPr>
                <w:sz w:val="16"/>
                <w:szCs w:val="16"/>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DB71EC" w:rsidRDefault="00555901" w:rsidP="00F568F2">
            <w:pPr>
              <w:shd w:val="clear" w:color="auto" w:fill="FFFFFF"/>
            </w:pPr>
            <w:r>
              <w:t>Die Unterhaltsvorschusskasse kann zum Zwecke ihrer gesetzlichen Aufgabenerledigung nach dem UVG gem. Art. 6 Abs. 1</w:t>
            </w:r>
            <w:r w:rsidR="003C6F19">
              <w:t xml:space="preserve"> </w:t>
            </w:r>
            <w:proofErr w:type="spellStart"/>
            <w:r w:rsidR="003C6F19">
              <w:t>lit</w:t>
            </w:r>
            <w:proofErr w:type="spellEnd"/>
            <w:r w:rsidR="003C6F19">
              <w:t xml:space="preserve"> c), Abs. 3 DSGVO </w:t>
            </w:r>
            <w:proofErr w:type="spellStart"/>
            <w:r w:rsidR="003C6F19">
              <w:t>i.V.m</w:t>
            </w:r>
            <w:proofErr w:type="spellEnd"/>
            <w:r w:rsidR="003C6F19">
              <w:t>. §§ 67a ff. Zehntes Buch Sozialgesetzbuch, § 6 Abs. 2, 5 und 6 UVG unter Beachtung der gesetzlichen Voraussetzungen personenbezogene Daten auch bei anderen öffentlichen und nicht-öffentlichen Stellen oder Personen erheben.</w:t>
            </w:r>
          </w:p>
          <w:p w:rsidR="003C6F19" w:rsidRDefault="003C6F19" w:rsidP="00F568F2">
            <w:pPr>
              <w:shd w:val="clear" w:color="auto" w:fill="FFFFFF"/>
            </w:pPr>
            <w:r w:rsidRPr="003C6F19">
              <w:rPr>
                <w:u w:val="single"/>
              </w:rPr>
              <w:t>Dies können sein</w:t>
            </w:r>
            <w:r>
              <w:t>:</w:t>
            </w:r>
          </w:p>
          <w:p w:rsidR="003C6F19" w:rsidRPr="00F568F2" w:rsidRDefault="003C6F19" w:rsidP="00F568F2">
            <w:pPr>
              <w:shd w:val="clear" w:color="auto" w:fill="FFFFFF"/>
            </w:pPr>
            <w: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 Darüber hinaus können personenbezogene Daten auch aus öffentlichen Quellen bezogen werden wie z. B. Internet, Melderegister, Handelsregister, Grundbuchämter usw.</w:t>
            </w:r>
          </w:p>
        </w:tc>
      </w:tr>
      <w:tr w:rsidR="003C6F19" w:rsidTr="0006778E">
        <w:trPr>
          <w:trHeight w:hRule="exact" w:val="3690"/>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3C6F19" w:rsidRPr="003C6F19" w:rsidRDefault="003C6F19" w:rsidP="0006778E">
            <w:pPr>
              <w:shd w:val="clear" w:color="auto" w:fill="FFFFFF"/>
              <w:rPr>
                <w:b/>
                <w:bCs/>
                <w:color w:val="000000"/>
              </w:rPr>
            </w:pPr>
            <w:r w:rsidRPr="003C6F19">
              <w:rPr>
                <w:b/>
                <w:bCs/>
                <w:color w:val="000000"/>
              </w:rPr>
              <w:t>9.</w:t>
            </w:r>
            <w:r w:rsidR="0006778E">
              <w:rPr>
                <w:b/>
                <w:bCs/>
                <w:color w:val="000000"/>
              </w:rPr>
              <w:t xml:space="preserve"> </w:t>
            </w:r>
            <w:r w:rsidRPr="003C6F19">
              <w:rPr>
                <w:b/>
                <w:bCs/>
                <w:color w:val="000000"/>
              </w:rPr>
              <w:t>Kategorien personenbezogener</w:t>
            </w:r>
            <w:r w:rsidR="0006778E">
              <w:rPr>
                <w:b/>
                <w:bCs/>
                <w:color w:val="000000"/>
              </w:rPr>
              <w:br/>
              <w:t xml:space="preserve">  </w:t>
            </w:r>
            <w:r w:rsidRPr="003C6F19">
              <w:rPr>
                <w:b/>
                <w:bCs/>
                <w:color w:val="000000"/>
              </w:rPr>
              <w:t>Daten</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3C6F19" w:rsidRDefault="0006778E" w:rsidP="0006778E">
            <w:pPr>
              <w:pStyle w:val="Listenabsatz"/>
              <w:numPr>
                <w:ilvl w:val="0"/>
                <w:numId w:val="6"/>
              </w:numPr>
              <w:shd w:val="clear" w:color="auto" w:fill="FFFFFF"/>
              <w:ind w:left="266" w:hanging="266"/>
            </w:pPr>
            <w:r w:rsidRPr="0006778E">
              <w:t>Stammdaten inkl. Kontaktdaten:</w:t>
            </w:r>
            <w:r>
              <w:br/>
              <w:t xml:space="preserve">Aktenzeichen, Name und Vorname des berechtigten Kindes und beider Elternteile, Geschlecht, Geburtsdatum, Geburtsort, Anschrift, Telefonnummer (optional), E-Mail-Adresse (optional), Familienstand, </w:t>
            </w:r>
            <w:proofErr w:type="spellStart"/>
            <w:r>
              <w:t>Kindschaftsverhältnis</w:t>
            </w:r>
            <w:proofErr w:type="spellEnd"/>
            <w:r>
              <w:t>, Staatsangehörigkeit, Aufenthaltsstatus, Renten-/Sozialversicherungsnummer, Bankverbindung</w:t>
            </w:r>
          </w:p>
          <w:p w:rsidR="0006778E" w:rsidRPr="0006778E" w:rsidRDefault="0006778E" w:rsidP="0006778E">
            <w:pPr>
              <w:pStyle w:val="Listenabsatz"/>
              <w:numPr>
                <w:ilvl w:val="0"/>
                <w:numId w:val="6"/>
              </w:numPr>
              <w:shd w:val="clear" w:color="auto" w:fill="FFFFFF"/>
              <w:ind w:left="266" w:hanging="266"/>
            </w:pPr>
            <w:r>
              <w:t>Daten zur Leistungsgewährung und zum Rückgriff:</w:t>
            </w:r>
            <w:r>
              <w:br/>
              <w:t>Einkommensnachweise, Vermögensnachweise, Leistungszeitraum, -höhe, -art, Angaben zur Unterbringung und zu Betreuungszeiten des Kindes, Daten zu Unterhaltsansprüchen,/Regressansprüchen, Daten zu Krankenversicherung, Rentenversicherung, Pflegeversicherung, Daten zur Dauer und Beendigung des Beschäftigungsverhältnisses.</w:t>
            </w:r>
          </w:p>
        </w:tc>
      </w:tr>
      <w:tr w:rsidR="0006778E" w:rsidRPr="0006778E" w:rsidTr="00D96125">
        <w:trPr>
          <w:trHeight w:hRule="exact" w:val="711"/>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06778E" w:rsidRPr="0006778E" w:rsidRDefault="0006778E" w:rsidP="0006778E">
            <w:pPr>
              <w:shd w:val="clear" w:color="auto" w:fill="FFFFFF"/>
              <w:rPr>
                <w:b/>
                <w:bCs/>
                <w:color w:val="000000"/>
              </w:rPr>
            </w:pPr>
            <w:r>
              <w:rPr>
                <w:b/>
                <w:bCs/>
                <w:color w:val="000000"/>
              </w:rPr>
              <w:t xml:space="preserve">10. Ggf. beabsichtigte Übermittlung in </w:t>
            </w:r>
            <w:r>
              <w:rPr>
                <w:b/>
                <w:bCs/>
                <w:color w:val="000000"/>
              </w:rPr>
              <w:br/>
              <w:t xml:space="preserve">   nebenstehendes Drittland </w:t>
            </w:r>
            <w:r w:rsidR="005E4BBA">
              <w:rPr>
                <w:b/>
                <w:bCs/>
                <w:color w:val="000000"/>
              </w:rPr>
              <w:br/>
              <w:t xml:space="preserve">   </w:t>
            </w:r>
            <w:proofErr w:type="spellStart"/>
            <w:r>
              <w:rPr>
                <w:b/>
                <w:bCs/>
                <w:color w:val="000000"/>
              </w:rPr>
              <w:t>ausserhalb</w:t>
            </w:r>
            <w:proofErr w:type="spellEnd"/>
            <w:r>
              <w:rPr>
                <w:b/>
                <w:bCs/>
                <w:color w:val="000000"/>
              </w:rPr>
              <w:t xml:space="preserve"> der EU</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06778E" w:rsidRPr="0006778E" w:rsidRDefault="005E4BBA" w:rsidP="0006778E">
            <w:pPr>
              <w:shd w:val="clear" w:color="auto" w:fill="FFFFFF"/>
            </w:pPr>
            <w:r>
              <w:t>Bei Heranziehung eines Unterhaltspflichtigen aus einem solchen Drittland</w:t>
            </w:r>
          </w:p>
        </w:tc>
      </w:tr>
      <w:tr w:rsidR="009F733C" w:rsidTr="00F568F2">
        <w:trPr>
          <w:trHeight w:hRule="exact" w:val="626"/>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9F733C" w:rsidRDefault="009F733C" w:rsidP="00454DAD">
            <w:pPr>
              <w:shd w:val="clear" w:color="auto" w:fill="FFFFFF"/>
              <w:jc w:val="center"/>
              <w:rPr>
                <w:b/>
                <w:bCs/>
                <w:i/>
                <w:color w:val="000000"/>
                <w:u w:val="single"/>
              </w:rPr>
            </w:pPr>
          </w:p>
          <w:p w:rsidR="009F733C" w:rsidRPr="00454DAD" w:rsidRDefault="009F733C" w:rsidP="00454DAD">
            <w:pPr>
              <w:shd w:val="clear" w:color="auto" w:fill="FFFFFF"/>
              <w:jc w:val="center"/>
              <w:rPr>
                <w:bCs/>
                <w:i/>
                <w:color w:val="000000"/>
                <w:sz w:val="16"/>
                <w:szCs w:val="16"/>
                <w:u w:val="single"/>
              </w:rPr>
            </w:pPr>
            <w:r w:rsidRPr="00454DAD">
              <w:rPr>
                <w:b/>
                <w:bCs/>
                <w:i/>
                <w:color w:val="000000"/>
                <w:u w:val="single"/>
              </w:rPr>
              <w:t>Art. 13 Abs. 2 DSGVO:</w:t>
            </w:r>
          </w:p>
          <w:p w:rsidR="009F733C" w:rsidRPr="0031125E" w:rsidRDefault="009F733C">
            <w:pPr>
              <w:shd w:val="clear" w:color="auto" w:fill="FFFFFF"/>
              <w:rPr>
                <w:bCs/>
                <w:color w:val="000000"/>
                <w:sz w:val="16"/>
                <w:szCs w:val="16"/>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9F733C" w:rsidRPr="00454DAD" w:rsidRDefault="009F733C" w:rsidP="00454DAD">
            <w:pPr>
              <w:shd w:val="clear" w:color="auto" w:fill="FFFFFF"/>
              <w:jc w:val="right"/>
              <w:rPr>
                <w:i/>
              </w:rPr>
            </w:pPr>
          </w:p>
        </w:tc>
      </w:tr>
      <w:tr w:rsidR="00B40A02" w:rsidTr="005E4BBA">
        <w:trPr>
          <w:trHeight w:hRule="exact" w:val="1056"/>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B40A02" w:rsidRDefault="005E4BBA" w:rsidP="00F95A11">
            <w:pPr>
              <w:shd w:val="clear" w:color="auto" w:fill="FFFFFF"/>
              <w:rPr>
                <w:b/>
                <w:bCs/>
                <w:color w:val="000000"/>
                <w:sz w:val="22"/>
                <w:szCs w:val="22"/>
              </w:rPr>
            </w:pPr>
            <w:r>
              <w:rPr>
                <w:b/>
                <w:bCs/>
                <w:color w:val="000000"/>
                <w:sz w:val="22"/>
                <w:szCs w:val="22"/>
              </w:rPr>
              <w:t>11</w:t>
            </w:r>
            <w:r w:rsidR="00B40A02">
              <w:rPr>
                <w:b/>
                <w:bCs/>
                <w:color w:val="000000"/>
                <w:sz w:val="22"/>
                <w:szCs w:val="22"/>
              </w:rPr>
              <w:t>. Dauer der Speicherung:</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B40A02" w:rsidRPr="0031125E" w:rsidRDefault="006A35BA" w:rsidP="006A35BA">
            <w:pPr>
              <w:pStyle w:val="Default"/>
            </w:pPr>
            <w:r>
              <w:rPr>
                <w:color w:val="auto"/>
                <w:sz w:val="20"/>
                <w:szCs w:val="20"/>
              </w:rPr>
              <w:t>10 Jahre nach Abschluss des Vorgangs (Leistungsende + Ende der Heranziehung des erstattungspflichtigen Elternteils)</w:t>
            </w:r>
            <w:r w:rsidR="005E4BBA">
              <w:rPr>
                <w:color w:val="auto"/>
                <w:sz w:val="20"/>
                <w:szCs w:val="20"/>
              </w:rPr>
              <w:t>. Innerhalb dieser Frist besteht kein Recht auf Löschung der personenbezogenen Daten</w:t>
            </w:r>
          </w:p>
        </w:tc>
      </w:tr>
      <w:tr w:rsidR="009F733C" w:rsidTr="00D96125">
        <w:trPr>
          <w:trHeight w:hRule="exact" w:val="3977"/>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9F733C" w:rsidRDefault="009F733C" w:rsidP="00454DAD">
            <w:pPr>
              <w:shd w:val="clear" w:color="auto" w:fill="FFFFFF"/>
              <w:rPr>
                <w:b/>
                <w:bCs/>
                <w:color w:val="000000"/>
                <w:sz w:val="22"/>
                <w:szCs w:val="22"/>
              </w:rPr>
            </w:pPr>
            <w:r>
              <w:rPr>
                <w:b/>
                <w:bCs/>
                <w:color w:val="000000"/>
                <w:sz w:val="22"/>
                <w:szCs w:val="22"/>
              </w:rPr>
              <w:t>1</w:t>
            </w:r>
            <w:r w:rsidR="005E4BBA">
              <w:rPr>
                <w:b/>
                <w:bCs/>
                <w:color w:val="000000"/>
                <w:sz w:val="22"/>
                <w:szCs w:val="22"/>
              </w:rPr>
              <w:t>2</w:t>
            </w:r>
            <w:r>
              <w:rPr>
                <w:b/>
                <w:bCs/>
                <w:color w:val="000000"/>
                <w:sz w:val="22"/>
                <w:szCs w:val="22"/>
              </w:rPr>
              <w:t>. Rechte der Betroffenen</w:t>
            </w:r>
          </w:p>
          <w:p w:rsidR="009F733C" w:rsidRPr="0031125E" w:rsidRDefault="009F733C" w:rsidP="00454DAD">
            <w:pPr>
              <w:shd w:val="clear" w:color="auto" w:fill="FFFFFF"/>
              <w:rPr>
                <w:bCs/>
                <w:color w:val="000000"/>
                <w:sz w:val="16"/>
                <w:szCs w:val="16"/>
              </w:rPr>
            </w:pP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9F733C" w:rsidRDefault="009F733C" w:rsidP="00454DAD">
            <w:pPr>
              <w:shd w:val="clear" w:color="auto" w:fill="FFFFFF"/>
            </w:pPr>
            <w:r w:rsidRPr="0031125E">
              <w:t xml:space="preserve">Betroffene Personen haben </w:t>
            </w:r>
            <w:r>
              <w:t xml:space="preserve">insbes. </w:t>
            </w:r>
            <w:r w:rsidRPr="0031125E">
              <w:t xml:space="preserve">folgende Rechte, wenn die </w:t>
            </w:r>
            <w:r>
              <w:t xml:space="preserve">rechtlichen </w:t>
            </w:r>
            <w:r w:rsidRPr="0031125E">
              <w:t>Voraussetzungen erfüllt sind:</w:t>
            </w:r>
          </w:p>
          <w:p w:rsidR="009F733C" w:rsidRDefault="009F733C" w:rsidP="00454DAD">
            <w:pPr>
              <w:shd w:val="clear" w:color="auto" w:fill="FFFFFF"/>
            </w:pPr>
          </w:p>
          <w:p w:rsidR="009F733C" w:rsidRDefault="009F733C" w:rsidP="00454DAD">
            <w:pPr>
              <w:pStyle w:val="Listenabsatz"/>
              <w:numPr>
                <w:ilvl w:val="0"/>
                <w:numId w:val="2"/>
              </w:numPr>
              <w:shd w:val="clear" w:color="auto" w:fill="FFFFFF"/>
              <w:ind w:left="178" w:hanging="178"/>
            </w:pPr>
            <w:r>
              <w:t xml:space="preserve">Art.15: </w:t>
            </w:r>
            <w:r w:rsidRPr="0031125E">
              <w:t>Recht auf Auskunft über die verarbeiteten</w:t>
            </w:r>
            <w:r>
              <w:t xml:space="preserve"> </w:t>
            </w:r>
            <w:r w:rsidRPr="0031125E">
              <w:t>personenbezogenen Daten</w:t>
            </w:r>
          </w:p>
          <w:p w:rsidR="009F733C" w:rsidRDefault="009F733C" w:rsidP="00454DAD">
            <w:pPr>
              <w:pStyle w:val="Listenabsatz"/>
              <w:numPr>
                <w:ilvl w:val="0"/>
                <w:numId w:val="2"/>
              </w:numPr>
              <w:shd w:val="clear" w:color="auto" w:fill="FFFFFF"/>
              <w:ind w:left="178" w:hanging="178"/>
            </w:pPr>
            <w:r>
              <w:t xml:space="preserve">Art.16: </w:t>
            </w:r>
            <w:r w:rsidRPr="0031125E">
              <w:t>Recht auf Berichtigung unrichtiger Daten</w:t>
            </w:r>
          </w:p>
          <w:p w:rsidR="009F733C" w:rsidRDefault="009F733C" w:rsidP="00454DAD">
            <w:pPr>
              <w:pStyle w:val="Listenabsatz"/>
              <w:numPr>
                <w:ilvl w:val="0"/>
                <w:numId w:val="2"/>
              </w:numPr>
              <w:shd w:val="clear" w:color="auto" w:fill="FFFFFF"/>
              <w:ind w:left="178" w:hanging="178"/>
            </w:pPr>
            <w:r>
              <w:t xml:space="preserve">Art.17: </w:t>
            </w:r>
            <w:r w:rsidRPr="0031125E">
              <w:t xml:space="preserve">Recht auf Löschung </w:t>
            </w:r>
            <w:r>
              <w:t>(Vergessenwerden)</w:t>
            </w:r>
          </w:p>
          <w:p w:rsidR="009F733C" w:rsidRDefault="009F733C" w:rsidP="00454DAD">
            <w:pPr>
              <w:pStyle w:val="Listenabsatz"/>
              <w:numPr>
                <w:ilvl w:val="0"/>
                <w:numId w:val="2"/>
              </w:numPr>
              <w:shd w:val="clear" w:color="auto" w:fill="FFFFFF"/>
              <w:ind w:left="178" w:hanging="178"/>
            </w:pPr>
            <w:r>
              <w:t xml:space="preserve">Art.18: Recht auf </w:t>
            </w:r>
            <w:r w:rsidRPr="0031125E">
              <w:t>Einschränkung der</w:t>
            </w:r>
            <w:r>
              <w:t xml:space="preserve"> </w:t>
            </w:r>
            <w:r w:rsidRPr="0031125E">
              <w:t>Datenverarbeitung</w:t>
            </w:r>
          </w:p>
          <w:p w:rsidR="009F733C" w:rsidRDefault="009F733C" w:rsidP="00454DAD">
            <w:pPr>
              <w:pStyle w:val="Listenabsatz"/>
              <w:numPr>
                <w:ilvl w:val="0"/>
                <w:numId w:val="2"/>
              </w:numPr>
              <w:shd w:val="clear" w:color="auto" w:fill="FFFFFF"/>
              <w:ind w:left="178" w:hanging="178"/>
            </w:pPr>
            <w:r>
              <w:t>Art.20: Recht auf Datenübertragbarkeit</w:t>
            </w:r>
          </w:p>
          <w:p w:rsidR="009F733C" w:rsidRDefault="009F733C" w:rsidP="00454DAD">
            <w:pPr>
              <w:pStyle w:val="Listenabsatz"/>
              <w:numPr>
                <w:ilvl w:val="0"/>
                <w:numId w:val="2"/>
              </w:numPr>
              <w:shd w:val="clear" w:color="auto" w:fill="FFFFFF"/>
              <w:ind w:left="178" w:hanging="178"/>
            </w:pPr>
            <w:r>
              <w:t xml:space="preserve">Art.21: </w:t>
            </w:r>
            <w:r w:rsidRPr="0031125E">
              <w:t>Recht auf Widerspruch gegen die Datenver</w:t>
            </w:r>
            <w:r w:rsidRPr="0031125E">
              <w:softHyphen/>
              <w:t>arbeitung</w:t>
            </w:r>
          </w:p>
          <w:p w:rsidR="009F733C" w:rsidRDefault="009F733C" w:rsidP="006A35BA">
            <w:pPr>
              <w:pStyle w:val="Listenabsatz"/>
              <w:numPr>
                <w:ilvl w:val="0"/>
                <w:numId w:val="2"/>
              </w:numPr>
              <w:shd w:val="clear" w:color="auto" w:fill="FFFFFF"/>
              <w:ind w:left="178" w:hanging="178"/>
            </w:pPr>
            <w:r>
              <w:t xml:space="preserve">Art.77: </w:t>
            </w:r>
            <w:r w:rsidRPr="0031125E">
              <w:t xml:space="preserve">Recht auf Beschwerde </w:t>
            </w:r>
            <w:r>
              <w:t xml:space="preserve">bei der </w:t>
            </w:r>
            <w:r w:rsidRPr="0031125E">
              <w:t>Aufsichtsbehörde</w:t>
            </w:r>
            <w:r>
              <w:t>:</w:t>
            </w:r>
          </w:p>
          <w:p w:rsidR="009F733C" w:rsidRDefault="009F733C" w:rsidP="006A35BA">
            <w:pPr>
              <w:shd w:val="clear" w:color="auto" w:fill="FFFFFF"/>
              <w:ind w:left="833"/>
            </w:pPr>
            <w:r w:rsidRPr="00386D30">
              <w:t xml:space="preserve">Landesbeauftragte für Datenschutz und Informationsfreiheit </w:t>
            </w:r>
            <w:r>
              <w:t xml:space="preserve">(LDI) NRW, </w:t>
            </w:r>
            <w:r w:rsidRPr="00386D30">
              <w:t>Kavalleriestr. 2-4 40213 Düsseldorf</w:t>
            </w:r>
          </w:p>
          <w:p w:rsidR="009F733C" w:rsidRDefault="009F733C" w:rsidP="006A35BA">
            <w:pPr>
              <w:shd w:val="clear" w:color="auto" w:fill="FFFFFF"/>
              <w:ind w:left="833"/>
            </w:pPr>
            <w:r w:rsidRPr="00386D30">
              <w:t>Telefon 0211 / 38424-0 Fax 0211 / 38424-10</w:t>
            </w:r>
          </w:p>
          <w:p w:rsidR="009F733C" w:rsidRDefault="009F733C" w:rsidP="006A35BA">
            <w:pPr>
              <w:shd w:val="clear" w:color="auto" w:fill="FFFFFF"/>
              <w:ind w:left="833"/>
            </w:pPr>
            <w:r w:rsidRPr="004901C7">
              <w:t xml:space="preserve">Email </w:t>
            </w:r>
            <w:hyperlink r:id="rId8" w:history="1">
              <w:r w:rsidRPr="004901C7">
                <w:t xml:space="preserve">poststelle@ldi.nrw.de </w:t>
              </w:r>
            </w:hyperlink>
            <w:r w:rsidRPr="004901C7">
              <w:t xml:space="preserve">Internet </w:t>
            </w:r>
            <w:hyperlink r:id="rId9" w:history="1">
              <w:r w:rsidRPr="004901C7">
                <w:t>www.ldi.nrw.de</w:t>
              </w:r>
            </w:hyperlink>
          </w:p>
          <w:p w:rsidR="009F733C" w:rsidRPr="0031125E" w:rsidRDefault="009F733C" w:rsidP="00454DAD">
            <w:pPr>
              <w:shd w:val="clear" w:color="auto" w:fill="FFFFFF"/>
            </w:pPr>
          </w:p>
        </w:tc>
      </w:tr>
      <w:tr w:rsidR="005E4BBA" w:rsidRPr="005E4BBA" w:rsidTr="00D96125">
        <w:trPr>
          <w:trHeight w:hRule="exact" w:val="909"/>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Pr="00736C2A" w:rsidRDefault="005E4BBA" w:rsidP="009C1767">
            <w:pPr>
              <w:shd w:val="clear" w:color="auto" w:fill="FFFFFF"/>
              <w:rPr>
                <w:b/>
                <w:bCs/>
                <w:color w:val="000000"/>
                <w:sz w:val="22"/>
                <w:szCs w:val="22"/>
              </w:rPr>
            </w:pPr>
            <w:r>
              <w:rPr>
                <w:b/>
                <w:bCs/>
                <w:color w:val="000000"/>
                <w:sz w:val="22"/>
                <w:szCs w:val="22"/>
              </w:rPr>
              <w:lastRenderedPageBreak/>
              <w:t xml:space="preserve">13. Die Bereitstellung der </w:t>
            </w:r>
            <w:r>
              <w:rPr>
                <w:b/>
                <w:bCs/>
                <w:color w:val="000000"/>
                <w:sz w:val="22"/>
                <w:szCs w:val="22"/>
              </w:rPr>
              <w:br/>
              <w:t xml:space="preserve">   personenbezogenen Daten ist</w:t>
            </w:r>
            <w:r>
              <w:rPr>
                <w:b/>
                <w:bCs/>
                <w:color w:val="000000"/>
                <w:sz w:val="22"/>
                <w:szCs w:val="22"/>
              </w:rPr>
              <w:br/>
              <w:t xml:space="preserve">   hier vorgeschrieben durch:</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5E4BBA">
            <w:pPr>
              <w:pStyle w:val="Listenabsatz"/>
              <w:shd w:val="clear" w:color="auto" w:fill="FFFFFF"/>
              <w:ind w:left="124"/>
            </w:pPr>
            <w:r>
              <w:t>Gesetz</w:t>
            </w:r>
          </w:p>
          <w:p w:rsidR="005E4BBA" w:rsidRPr="005E4BBA" w:rsidRDefault="005E4BBA" w:rsidP="009C1767">
            <w:pPr>
              <w:pStyle w:val="Listenabsatz"/>
              <w:shd w:val="clear" w:color="auto" w:fill="FFFFFF"/>
              <w:ind w:left="124"/>
            </w:pPr>
          </w:p>
        </w:tc>
      </w:tr>
      <w:tr w:rsidR="005E4BBA" w:rsidRPr="00386D30" w:rsidTr="009C1767">
        <w:trPr>
          <w:trHeight w:hRule="exact" w:val="1128"/>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Pr="006048EC" w:rsidRDefault="005E4BBA" w:rsidP="009C1767">
            <w:pPr>
              <w:shd w:val="clear" w:color="auto" w:fill="FFFFFF"/>
              <w:rPr>
                <w:bCs/>
                <w:color w:val="000000"/>
                <w:sz w:val="16"/>
                <w:szCs w:val="16"/>
              </w:rPr>
            </w:pPr>
            <w:r>
              <w:rPr>
                <w:b/>
                <w:bCs/>
                <w:color w:val="000000"/>
                <w:sz w:val="22"/>
                <w:szCs w:val="22"/>
              </w:rPr>
              <w:t xml:space="preserve">14. Die Bereitstellung der </w:t>
            </w:r>
            <w:r>
              <w:rPr>
                <w:b/>
                <w:bCs/>
                <w:color w:val="000000"/>
                <w:sz w:val="22"/>
                <w:szCs w:val="22"/>
              </w:rPr>
              <w:br/>
              <w:t xml:space="preserve">   personenbezogenen Daten ist </w:t>
            </w:r>
            <w:r>
              <w:rPr>
                <w:b/>
                <w:bCs/>
                <w:color w:val="000000"/>
                <w:sz w:val="22"/>
                <w:szCs w:val="22"/>
              </w:rPr>
              <w:br/>
              <w:t xml:space="preserve">   hier für einen Vertragsabschluss</w:t>
            </w:r>
            <w:r>
              <w:rPr>
                <w:b/>
                <w:bCs/>
                <w:color w:val="000000"/>
                <w:sz w:val="22"/>
                <w:szCs w:val="22"/>
              </w:rPr>
              <w:br/>
              <w:t xml:space="preserve">   erforderlich:</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Pr="00386D30" w:rsidRDefault="005E4BBA" w:rsidP="005E4BBA">
            <w:pPr>
              <w:pStyle w:val="Listenabsatz"/>
              <w:shd w:val="clear" w:color="auto" w:fill="FFFFFF"/>
              <w:ind w:left="124"/>
            </w:pPr>
            <w:r>
              <w:t>Nein</w:t>
            </w:r>
          </w:p>
        </w:tc>
      </w:tr>
      <w:tr w:rsidR="005E4BBA" w:rsidTr="009C1767">
        <w:trPr>
          <w:trHeight w:hRule="exact" w:val="851"/>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Pr="006048EC" w:rsidRDefault="005E4BBA" w:rsidP="009C1767">
            <w:pPr>
              <w:shd w:val="clear" w:color="auto" w:fill="FFFFFF"/>
              <w:rPr>
                <w:bCs/>
                <w:color w:val="000000"/>
                <w:sz w:val="16"/>
                <w:szCs w:val="16"/>
              </w:rPr>
            </w:pPr>
            <w:r>
              <w:rPr>
                <w:b/>
                <w:bCs/>
                <w:color w:val="000000"/>
                <w:sz w:val="22"/>
                <w:szCs w:val="22"/>
              </w:rPr>
              <w:t>15. Es besteht hier eine (rechtliche)</w:t>
            </w:r>
            <w:r>
              <w:rPr>
                <w:b/>
                <w:bCs/>
                <w:color w:val="000000"/>
                <w:sz w:val="22"/>
                <w:szCs w:val="22"/>
              </w:rPr>
              <w:br/>
              <w:t xml:space="preserve">   Pflicht zur Bereitstellung der </w:t>
            </w:r>
            <w:r>
              <w:rPr>
                <w:b/>
                <w:bCs/>
                <w:color w:val="000000"/>
                <w:sz w:val="22"/>
                <w:szCs w:val="22"/>
              </w:rPr>
              <w:br/>
              <w:t xml:space="preserve">   personenbezogen Daten:</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5E4BBA">
            <w:pPr>
              <w:pStyle w:val="Listenabsatz"/>
              <w:shd w:val="clear" w:color="auto" w:fill="FFFFFF"/>
              <w:ind w:left="124"/>
            </w:pPr>
            <w:r>
              <w:t>Ja</w:t>
            </w:r>
          </w:p>
          <w:p w:rsidR="005E4BBA" w:rsidRDefault="005E4BBA" w:rsidP="005E4BBA">
            <w:pPr>
              <w:pStyle w:val="Listenabsatz"/>
              <w:shd w:val="clear" w:color="auto" w:fill="FFFFFF"/>
              <w:ind w:left="124"/>
            </w:pPr>
          </w:p>
        </w:tc>
      </w:tr>
      <w:tr w:rsidR="005E4BBA" w:rsidTr="005E4BBA">
        <w:trPr>
          <w:trHeight w:hRule="exact" w:val="909"/>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9C1767">
            <w:pPr>
              <w:shd w:val="clear" w:color="auto" w:fill="FFFFFF"/>
              <w:rPr>
                <w:b/>
                <w:bCs/>
                <w:color w:val="000000"/>
                <w:sz w:val="22"/>
                <w:szCs w:val="22"/>
              </w:rPr>
            </w:pPr>
            <w:r>
              <w:rPr>
                <w:b/>
                <w:bCs/>
                <w:color w:val="000000"/>
                <w:sz w:val="22"/>
                <w:szCs w:val="22"/>
              </w:rPr>
              <w:t xml:space="preserve">16. Die Nichtbereitstellung der </w:t>
            </w:r>
            <w:r>
              <w:rPr>
                <w:b/>
                <w:bCs/>
                <w:color w:val="000000"/>
                <w:sz w:val="22"/>
                <w:szCs w:val="22"/>
              </w:rPr>
              <w:br/>
              <w:t xml:space="preserve">   Daten hätte nebenstehende </w:t>
            </w:r>
            <w:r>
              <w:rPr>
                <w:b/>
                <w:bCs/>
                <w:color w:val="000000"/>
                <w:sz w:val="22"/>
                <w:szCs w:val="22"/>
              </w:rPr>
              <w:br/>
              <w:t xml:space="preserve">   mögliche Folgen:</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9C1767">
            <w:pPr>
              <w:shd w:val="clear" w:color="auto" w:fill="FFFFFF"/>
            </w:pPr>
            <w:r>
              <w:t>Antrag kann nicht bewilligt werden; erschwerte Rechtsposition des erstattungspflichtigen Elternteils; Auskunftseinholung bei Dritten muss erfolgen</w:t>
            </w:r>
          </w:p>
        </w:tc>
      </w:tr>
      <w:tr w:rsidR="005E4BBA" w:rsidTr="009C1767">
        <w:trPr>
          <w:trHeight w:hRule="exact" w:val="842"/>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9C1767">
            <w:pPr>
              <w:shd w:val="clear" w:color="auto" w:fill="FFFFFF"/>
              <w:jc w:val="center"/>
              <w:rPr>
                <w:b/>
                <w:bCs/>
                <w:i/>
                <w:color w:val="000000"/>
                <w:u w:val="single"/>
              </w:rPr>
            </w:pPr>
          </w:p>
          <w:p w:rsidR="005E4BBA" w:rsidRPr="00454DAD" w:rsidRDefault="005E4BBA" w:rsidP="009C1767">
            <w:pPr>
              <w:shd w:val="clear" w:color="auto" w:fill="FFFFFF"/>
              <w:jc w:val="center"/>
              <w:rPr>
                <w:bCs/>
                <w:i/>
                <w:color w:val="000000"/>
                <w:sz w:val="16"/>
                <w:szCs w:val="16"/>
                <w:u w:val="single"/>
              </w:rPr>
            </w:pPr>
            <w:r w:rsidRPr="00454DAD">
              <w:rPr>
                <w:b/>
                <w:bCs/>
                <w:i/>
                <w:color w:val="000000"/>
                <w:u w:val="single"/>
              </w:rPr>
              <w:t>Art. 13 Abs. 3 DSGVO:</w:t>
            </w:r>
          </w:p>
          <w:p w:rsidR="005E4BBA" w:rsidRPr="009F733C" w:rsidRDefault="005E4BBA" w:rsidP="009C1767">
            <w:pPr>
              <w:shd w:val="clear" w:color="auto" w:fill="FFFFFF"/>
              <w:jc w:val="center"/>
              <w:rPr>
                <w:bCs/>
                <w:color w:val="000000"/>
                <w:sz w:val="22"/>
                <w:szCs w:val="22"/>
              </w:rPr>
            </w:pPr>
            <w:r w:rsidRPr="009F733C">
              <w:rPr>
                <w:bCs/>
                <w:color w:val="000000"/>
                <w:sz w:val="16"/>
                <w:szCs w:val="16"/>
                <w:u w:val="single"/>
              </w:rPr>
              <w:t>(nur auszufüllen, sofern hier relevant)</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9C1767">
            <w:pPr>
              <w:shd w:val="clear" w:color="auto" w:fill="FFFFFF"/>
            </w:pPr>
          </w:p>
        </w:tc>
      </w:tr>
      <w:tr w:rsidR="005E4BBA" w:rsidTr="009C1767">
        <w:trPr>
          <w:trHeight w:hRule="exact" w:val="1134"/>
        </w:trPr>
        <w:tc>
          <w:tcPr>
            <w:tcW w:w="3805" w:type="dxa"/>
            <w:tcBorders>
              <w:top w:val="single" w:sz="6" w:space="0" w:color="auto"/>
              <w:left w:val="single" w:sz="6" w:space="0" w:color="auto"/>
              <w:bottom w:val="single" w:sz="6" w:space="0" w:color="auto"/>
              <w:right w:val="single" w:sz="6" w:space="0" w:color="auto"/>
            </w:tcBorders>
            <w:shd w:val="clear" w:color="auto" w:fill="FFFFFF"/>
          </w:tcPr>
          <w:p w:rsidR="005E4BBA" w:rsidRPr="00B40A02" w:rsidRDefault="005E4BBA" w:rsidP="009C1767">
            <w:pPr>
              <w:shd w:val="clear" w:color="auto" w:fill="FFFFFF"/>
              <w:rPr>
                <w:sz w:val="16"/>
                <w:szCs w:val="16"/>
              </w:rPr>
            </w:pPr>
            <w:r>
              <w:rPr>
                <w:b/>
                <w:bCs/>
                <w:color w:val="000000"/>
                <w:sz w:val="22"/>
                <w:szCs w:val="22"/>
              </w:rPr>
              <w:t xml:space="preserve">17. Es ist beabsichtigt, die Daten </w:t>
            </w:r>
            <w:r>
              <w:rPr>
                <w:b/>
                <w:bCs/>
                <w:color w:val="000000"/>
                <w:sz w:val="22"/>
                <w:szCs w:val="22"/>
              </w:rPr>
              <w:br/>
              <w:t xml:space="preserve">   für nebenstehenden </w:t>
            </w:r>
            <w:r w:rsidRPr="006D61D7">
              <w:rPr>
                <w:b/>
                <w:bCs/>
                <w:color w:val="000000"/>
                <w:sz w:val="22"/>
                <w:szCs w:val="22"/>
              </w:rPr>
              <w:t>anderen</w:t>
            </w:r>
            <w:r>
              <w:rPr>
                <w:b/>
                <w:bCs/>
                <w:color w:val="000000"/>
                <w:sz w:val="22"/>
                <w:szCs w:val="22"/>
              </w:rPr>
              <w:br/>
              <w:t xml:space="preserve">  </w:t>
            </w:r>
            <w:r w:rsidRPr="006D61D7">
              <w:rPr>
                <w:b/>
                <w:bCs/>
                <w:color w:val="000000"/>
                <w:sz w:val="22"/>
                <w:szCs w:val="22"/>
              </w:rPr>
              <w:t xml:space="preserve"> Zweck </w:t>
            </w:r>
            <w:r>
              <w:rPr>
                <w:b/>
                <w:bCs/>
                <w:color w:val="000000"/>
                <w:sz w:val="22"/>
                <w:szCs w:val="22"/>
              </w:rPr>
              <w:t xml:space="preserve">als unter Ziff. 5 genannt </w:t>
            </w:r>
            <w:r>
              <w:rPr>
                <w:b/>
                <w:bCs/>
                <w:color w:val="000000"/>
                <w:sz w:val="22"/>
                <w:szCs w:val="22"/>
              </w:rPr>
              <w:br/>
              <w:t xml:space="preserve">   weiterzuverarbeiten:</w:t>
            </w:r>
          </w:p>
        </w:tc>
        <w:tc>
          <w:tcPr>
            <w:tcW w:w="5967" w:type="dxa"/>
            <w:tcBorders>
              <w:top w:val="single" w:sz="6" w:space="0" w:color="auto"/>
              <w:left w:val="single" w:sz="6" w:space="0" w:color="auto"/>
              <w:bottom w:val="single" w:sz="6" w:space="0" w:color="auto"/>
              <w:right w:val="single" w:sz="6" w:space="0" w:color="auto"/>
            </w:tcBorders>
            <w:shd w:val="clear" w:color="auto" w:fill="FFFFFF"/>
          </w:tcPr>
          <w:p w:rsidR="005E4BBA" w:rsidRDefault="005E4BBA" w:rsidP="009C1767">
            <w:pPr>
              <w:shd w:val="clear" w:color="auto" w:fill="FFFFFF"/>
            </w:pPr>
            <w:r>
              <w:t>Nein</w:t>
            </w:r>
          </w:p>
        </w:tc>
      </w:tr>
    </w:tbl>
    <w:p w:rsidR="00D20DDF" w:rsidRDefault="005E4BBA" w:rsidP="00C809F7">
      <w:pPr>
        <w:shd w:val="clear" w:color="auto" w:fill="FFFFFF"/>
        <w:spacing w:before="1128"/>
      </w:pPr>
      <w:r>
        <w:t>Nein</w:t>
      </w:r>
    </w:p>
    <w:sectPr w:rsidR="00D20DDF" w:rsidSect="004805B0">
      <w:headerReference w:type="default" r:id="rId10"/>
      <w:footerReference w:type="default" r:id="rId11"/>
      <w:headerReference w:type="first" r:id="rId12"/>
      <w:type w:val="continuous"/>
      <w:pgSz w:w="11909" w:h="16834"/>
      <w:pgMar w:top="426" w:right="1128" w:bottom="238" w:left="1128" w:header="720" w:footer="582"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58" w:rsidRDefault="00B60858" w:rsidP="00D668A6">
      <w:r>
        <w:separator/>
      </w:r>
    </w:p>
  </w:endnote>
  <w:endnote w:type="continuationSeparator" w:id="0">
    <w:p w:rsidR="00B60858" w:rsidRDefault="00B60858" w:rsidP="00D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90646"/>
      <w:docPartObj>
        <w:docPartGallery w:val="Page Numbers (Bottom of Page)"/>
        <w:docPartUnique/>
      </w:docPartObj>
    </w:sdtPr>
    <w:sdtEndPr/>
    <w:sdtContent>
      <w:p w:rsidR="00F95A11" w:rsidRDefault="00F95A11">
        <w:pPr>
          <w:pStyle w:val="Fuzeile"/>
          <w:jc w:val="center"/>
        </w:pPr>
        <w:r>
          <w:fldChar w:fldCharType="begin"/>
        </w:r>
        <w:r>
          <w:instrText>PAGE   \* MERGEFORMAT</w:instrText>
        </w:r>
        <w:r>
          <w:fldChar w:fldCharType="separate"/>
        </w:r>
        <w:r w:rsidR="00D9612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58" w:rsidRDefault="00B60858" w:rsidP="00D668A6">
      <w:r>
        <w:separator/>
      </w:r>
    </w:p>
  </w:footnote>
  <w:footnote w:type="continuationSeparator" w:id="0">
    <w:p w:rsidR="00B60858" w:rsidRDefault="00B60858" w:rsidP="00D6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78" w:rsidRDefault="006B4B78" w:rsidP="006B4B7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B0" w:rsidRDefault="00555901" w:rsidP="004805B0">
    <w:pPr>
      <w:pStyle w:val="Kopfzeile"/>
      <w:jc w:val="center"/>
    </w:pPr>
    <w:r>
      <w:rPr>
        <w:noProof/>
      </w:rPr>
      <w:drawing>
        <wp:inline distT="0" distB="0" distL="0" distR="0">
          <wp:extent cx="2146195" cy="330120"/>
          <wp:effectExtent l="0" t="0" r="0" b="0"/>
          <wp:docPr id="1" name="Grafik 1" descr="U:\Users\Alle_zum_Austauschen\LOGO\Kreisstadt_Mettmann_Logos\Kreisstadt_Mettmann_Logos\Kreisstadt_Mettmann_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ers\Alle_zum_Austauschen\LOGO\Kreisstadt_Mettmann_Logos\Kreisstadt_Mettmann_Logos\Kreisstadt_Mettmann_Logo_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345" cy="330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6E0A"/>
    <w:multiLevelType w:val="hybridMultilevel"/>
    <w:tmpl w:val="A9DE4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8D06E3"/>
    <w:multiLevelType w:val="hybridMultilevel"/>
    <w:tmpl w:val="DBBC4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E90665"/>
    <w:multiLevelType w:val="hybridMultilevel"/>
    <w:tmpl w:val="396EA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CF6719"/>
    <w:multiLevelType w:val="hybridMultilevel"/>
    <w:tmpl w:val="FC66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00B35"/>
    <w:multiLevelType w:val="hybridMultilevel"/>
    <w:tmpl w:val="28AC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3720A"/>
    <w:multiLevelType w:val="hybridMultilevel"/>
    <w:tmpl w:val="57EA1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B8"/>
    <w:rsid w:val="00053835"/>
    <w:rsid w:val="0006778E"/>
    <w:rsid w:val="000B42FD"/>
    <w:rsid w:val="000F4CBE"/>
    <w:rsid w:val="00145739"/>
    <w:rsid w:val="00201FFC"/>
    <w:rsid w:val="00231A97"/>
    <w:rsid w:val="002D3CF1"/>
    <w:rsid w:val="002E63EA"/>
    <w:rsid w:val="002F154F"/>
    <w:rsid w:val="002F54CD"/>
    <w:rsid w:val="003057DB"/>
    <w:rsid w:val="0031125E"/>
    <w:rsid w:val="00317EFB"/>
    <w:rsid w:val="00323941"/>
    <w:rsid w:val="00344AB4"/>
    <w:rsid w:val="00355927"/>
    <w:rsid w:val="0036339F"/>
    <w:rsid w:val="00386D30"/>
    <w:rsid w:val="00393346"/>
    <w:rsid w:val="00395163"/>
    <w:rsid w:val="003C6F19"/>
    <w:rsid w:val="0041471E"/>
    <w:rsid w:val="004267CF"/>
    <w:rsid w:val="00452023"/>
    <w:rsid w:val="00454DAD"/>
    <w:rsid w:val="00475EA6"/>
    <w:rsid w:val="004805B0"/>
    <w:rsid w:val="004901C7"/>
    <w:rsid w:val="004B1D7D"/>
    <w:rsid w:val="00535FB8"/>
    <w:rsid w:val="005454F2"/>
    <w:rsid w:val="00555901"/>
    <w:rsid w:val="005A6A5C"/>
    <w:rsid w:val="005E0E9A"/>
    <w:rsid w:val="005E4BBA"/>
    <w:rsid w:val="006048EC"/>
    <w:rsid w:val="00642301"/>
    <w:rsid w:val="006630B3"/>
    <w:rsid w:val="006A35BA"/>
    <w:rsid w:val="006B4B78"/>
    <w:rsid w:val="006D61D7"/>
    <w:rsid w:val="0071136E"/>
    <w:rsid w:val="00736C2A"/>
    <w:rsid w:val="00777FFD"/>
    <w:rsid w:val="00796633"/>
    <w:rsid w:val="00890DD4"/>
    <w:rsid w:val="008F5523"/>
    <w:rsid w:val="00900A22"/>
    <w:rsid w:val="00910725"/>
    <w:rsid w:val="009F3A03"/>
    <w:rsid w:val="009F733C"/>
    <w:rsid w:val="00A16975"/>
    <w:rsid w:val="00A61D28"/>
    <w:rsid w:val="00AB11A2"/>
    <w:rsid w:val="00AC7D16"/>
    <w:rsid w:val="00B23A41"/>
    <w:rsid w:val="00B40677"/>
    <w:rsid w:val="00B40A02"/>
    <w:rsid w:val="00B46FA4"/>
    <w:rsid w:val="00B60858"/>
    <w:rsid w:val="00B61243"/>
    <w:rsid w:val="00BC0ADF"/>
    <w:rsid w:val="00C504B8"/>
    <w:rsid w:val="00C809F7"/>
    <w:rsid w:val="00C87955"/>
    <w:rsid w:val="00C930C5"/>
    <w:rsid w:val="00CC27BB"/>
    <w:rsid w:val="00CE2F1E"/>
    <w:rsid w:val="00CF1D49"/>
    <w:rsid w:val="00D20DDF"/>
    <w:rsid w:val="00D668A6"/>
    <w:rsid w:val="00D96125"/>
    <w:rsid w:val="00DB71EC"/>
    <w:rsid w:val="00DC7D67"/>
    <w:rsid w:val="00DE0492"/>
    <w:rsid w:val="00DE66A8"/>
    <w:rsid w:val="00E82A3A"/>
    <w:rsid w:val="00EC1BF4"/>
    <w:rsid w:val="00F41F5F"/>
    <w:rsid w:val="00F568F2"/>
    <w:rsid w:val="00F81A3F"/>
    <w:rsid w:val="00F831BC"/>
    <w:rsid w:val="00F85DB3"/>
    <w:rsid w:val="00F95A11"/>
    <w:rsid w:val="00FC4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7620BD5-E9D3-4D41-8F4A-93A33CC1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spacing w:after="0" w:line="240" w:lineRule="auto"/>
    </w:pPr>
    <w:rPr>
      <w:rFonts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68A6"/>
    <w:rPr>
      <w:color w:val="0563C1" w:themeColor="hyperlink"/>
      <w:u w:val="single"/>
    </w:rPr>
  </w:style>
  <w:style w:type="paragraph" w:styleId="Kopfzeile">
    <w:name w:val="header"/>
    <w:basedOn w:val="Standard"/>
    <w:link w:val="KopfzeileZchn"/>
    <w:uiPriority w:val="99"/>
    <w:unhideWhenUsed/>
    <w:rsid w:val="00D668A6"/>
    <w:pPr>
      <w:tabs>
        <w:tab w:val="center" w:pos="4536"/>
        <w:tab w:val="right" w:pos="9072"/>
      </w:tabs>
    </w:pPr>
  </w:style>
  <w:style w:type="character" w:customStyle="1" w:styleId="KopfzeileZchn">
    <w:name w:val="Kopfzeile Zchn"/>
    <w:basedOn w:val="Absatz-Standardschriftart"/>
    <w:link w:val="Kopfzeile"/>
    <w:uiPriority w:val="99"/>
    <w:rsid w:val="00D668A6"/>
    <w:rPr>
      <w:rFonts w:hAnsi="Arial" w:cs="Arial"/>
      <w:sz w:val="20"/>
      <w:szCs w:val="20"/>
    </w:rPr>
  </w:style>
  <w:style w:type="paragraph" w:styleId="Fuzeile">
    <w:name w:val="footer"/>
    <w:basedOn w:val="Standard"/>
    <w:link w:val="FuzeileZchn"/>
    <w:uiPriority w:val="99"/>
    <w:unhideWhenUsed/>
    <w:rsid w:val="00D668A6"/>
    <w:pPr>
      <w:tabs>
        <w:tab w:val="center" w:pos="4536"/>
        <w:tab w:val="right" w:pos="9072"/>
      </w:tabs>
    </w:pPr>
  </w:style>
  <w:style w:type="character" w:customStyle="1" w:styleId="FuzeileZchn">
    <w:name w:val="Fußzeile Zchn"/>
    <w:basedOn w:val="Absatz-Standardschriftart"/>
    <w:link w:val="Fuzeile"/>
    <w:uiPriority w:val="99"/>
    <w:rsid w:val="00D668A6"/>
    <w:rPr>
      <w:rFonts w:hAnsi="Arial" w:cs="Arial"/>
      <w:sz w:val="20"/>
      <w:szCs w:val="20"/>
    </w:rPr>
  </w:style>
  <w:style w:type="paragraph" w:styleId="Listenabsatz">
    <w:name w:val="List Paragraph"/>
    <w:basedOn w:val="Standard"/>
    <w:uiPriority w:val="34"/>
    <w:qFormat/>
    <w:rsid w:val="0031125E"/>
    <w:pPr>
      <w:ind w:left="720"/>
      <w:contextualSpacing/>
    </w:pPr>
  </w:style>
  <w:style w:type="paragraph" w:styleId="Sprechblasentext">
    <w:name w:val="Balloon Text"/>
    <w:basedOn w:val="Standard"/>
    <w:link w:val="SprechblasentextZchn"/>
    <w:uiPriority w:val="99"/>
    <w:semiHidden/>
    <w:unhideWhenUsed/>
    <w:rsid w:val="006B4B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B78"/>
    <w:rPr>
      <w:rFonts w:ascii="Tahoma" w:hAnsi="Tahoma" w:cs="Tahoma"/>
      <w:sz w:val="16"/>
      <w:szCs w:val="16"/>
    </w:rPr>
  </w:style>
  <w:style w:type="paragraph" w:customStyle="1" w:styleId="Default">
    <w:name w:val="Default"/>
    <w:rsid w:val="00F568F2"/>
    <w:pPr>
      <w:autoSpaceDE w:val="0"/>
      <w:autoSpaceDN w:val="0"/>
      <w:adjustRightInd w:val="0"/>
      <w:spacing w:after="0" w:line="240" w:lineRule="auto"/>
    </w:pPr>
    <w:rPr>
      <w:rFonts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0248">
      <w:bodyDiv w:val="1"/>
      <w:marLeft w:val="0"/>
      <w:marRight w:val="0"/>
      <w:marTop w:val="0"/>
      <w:marBottom w:val="0"/>
      <w:divBdr>
        <w:top w:val="none" w:sz="0" w:space="0" w:color="auto"/>
        <w:left w:val="none" w:sz="0" w:space="0" w:color="auto"/>
        <w:bottom w:val="none" w:sz="0" w:space="0" w:color="auto"/>
        <w:right w:val="none" w:sz="0" w:space="0" w:color="auto"/>
      </w:divBdr>
    </w:div>
    <w:div w:id="2088768750">
      <w:bodyDiv w:val="1"/>
      <w:marLeft w:val="0"/>
      <w:marRight w:val="0"/>
      <w:marTop w:val="0"/>
      <w:marBottom w:val="0"/>
      <w:divBdr>
        <w:top w:val="none" w:sz="0" w:space="0" w:color="auto"/>
        <w:left w:val="none" w:sz="0" w:space="0" w:color="auto"/>
        <w:bottom w:val="none" w:sz="0" w:space="0" w:color="auto"/>
        <w:right w:val="none" w:sz="0" w:space="0" w:color="auto"/>
      </w:divBdr>
    </w:div>
    <w:div w:id="21465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mettman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di.nrw.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Kreisstadt Mettmann</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Passfeld, Andreas</dc:creator>
  <cp:lastModifiedBy>Lekies, Thomas</cp:lastModifiedBy>
  <cp:revision>2</cp:revision>
  <cp:lastPrinted>2018-09-13T09:14:00Z</cp:lastPrinted>
  <dcterms:created xsi:type="dcterms:W3CDTF">2022-08-03T13:48:00Z</dcterms:created>
  <dcterms:modified xsi:type="dcterms:W3CDTF">2022-08-03T13:48:00Z</dcterms:modified>
</cp:coreProperties>
</file>